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033" w:rsidRPr="00A05AE7" w:rsidRDefault="00A05AE7">
      <w:pPr>
        <w:rPr>
          <w:rFonts w:ascii="Times New Roman" w:hAnsi="Times New Roman" w:cs="Times New Roman"/>
          <w:sz w:val="24"/>
          <w:szCs w:val="24"/>
        </w:rPr>
      </w:pPr>
      <w:r w:rsidRPr="00A05AE7">
        <w:rPr>
          <w:rFonts w:ascii="Times New Roman" w:hAnsi="Times New Roman" w:cs="Times New Roman"/>
          <w:b/>
          <w:sz w:val="24"/>
          <w:szCs w:val="24"/>
        </w:rPr>
        <w:t>Pamokos tema:</w:t>
      </w:r>
      <w:r w:rsidRPr="00A05AE7">
        <w:rPr>
          <w:rFonts w:ascii="Times New Roman" w:hAnsi="Times New Roman" w:cs="Times New Roman"/>
          <w:sz w:val="24"/>
          <w:szCs w:val="24"/>
        </w:rPr>
        <w:t xml:space="preserve"> </w:t>
      </w:r>
      <w:r w:rsidR="002A50CA" w:rsidRPr="00A05AE7">
        <w:rPr>
          <w:rFonts w:ascii="Times New Roman" w:hAnsi="Times New Roman" w:cs="Times New Roman"/>
          <w:sz w:val="24"/>
          <w:szCs w:val="24"/>
        </w:rPr>
        <w:t>(Ne) virtualaus pažintini</w:t>
      </w:r>
      <w:r w:rsidR="00CB4542">
        <w:rPr>
          <w:rFonts w:ascii="Times New Roman" w:hAnsi="Times New Roman" w:cs="Times New Roman"/>
          <w:sz w:val="24"/>
          <w:szCs w:val="24"/>
        </w:rPr>
        <w:t>o tako kūrimas.</w:t>
      </w:r>
    </w:p>
    <w:p w:rsidR="002A50CA" w:rsidRPr="00A05AE7" w:rsidRDefault="00A05AE7">
      <w:pPr>
        <w:rPr>
          <w:rFonts w:ascii="Times New Roman" w:hAnsi="Times New Roman" w:cs="Times New Roman"/>
          <w:sz w:val="24"/>
          <w:szCs w:val="24"/>
        </w:rPr>
      </w:pPr>
      <w:r>
        <w:rPr>
          <w:rFonts w:ascii="Times New Roman" w:hAnsi="Times New Roman" w:cs="Times New Roman"/>
          <w:b/>
          <w:sz w:val="24"/>
          <w:szCs w:val="24"/>
        </w:rPr>
        <w:t>T</w:t>
      </w:r>
      <w:r w:rsidRPr="00A05AE7">
        <w:rPr>
          <w:rFonts w:ascii="Times New Roman" w:hAnsi="Times New Roman" w:cs="Times New Roman"/>
          <w:b/>
          <w:sz w:val="24"/>
          <w:szCs w:val="24"/>
        </w:rPr>
        <w:t>ikslas:</w:t>
      </w:r>
      <w:r w:rsidR="002A50CA" w:rsidRPr="00A05AE7">
        <w:rPr>
          <w:rFonts w:ascii="Times New Roman" w:hAnsi="Times New Roman" w:cs="Times New Roman"/>
          <w:sz w:val="24"/>
          <w:szCs w:val="24"/>
        </w:rPr>
        <w:t xml:space="preserve"> Sukurti pažintinį taką.</w:t>
      </w:r>
    </w:p>
    <w:p w:rsidR="0008452A" w:rsidRDefault="00A05AE7">
      <w:pPr>
        <w:rPr>
          <w:rFonts w:ascii="Times New Roman" w:hAnsi="Times New Roman" w:cs="Times New Roman"/>
          <w:sz w:val="24"/>
          <w:szCs w:val="24"/>
        </w:rPr>
      </w:pPr>
      <w:r w:rsidRPr="002A50CA">
        <w:rPr>
          <w:rFonts w:ascii="Times New Roman" w:hAnsi="Times New Roman" w:cs="Times New Roman"/>
          <w:sz w:val="24"/>
          <w:szCs w:val="24"/>
        </w:rPr>
        <w:t>Pamoka vyksta Cedrono aukštupyje.</w:t>
      </w:r>
      <w:r>
        <w:rPr>
          <w:rFonts w:ascii="Times New Roman" w:hAnsi="Times New Roman" w:cs="Times New Roman"/>
          <w:sz w:val="24"/>
          <w:szCs w:val="24"/>
        </w:rPr>
        <w:t xml:space="preserve"> </w:t>
      </w:r>
      <w:r w:rsidR="00276E34">
        <w:rPr>
          <w:rFonts w:ascii="Times New Roman" w:hAnsi="Times New Roman" w:cs="Times New Roman"/>
          <w:sz w:val="24"/>
          <w:szCs w:val="24"/>
        </w:rPr>
        <w:t>Pažintinio tako kūrimo pradžia – Didlaukio g. 84, miškelio teritorija tarp Baltup</w:t>
      </w:r>
      <w:r w:rsidR="005A5F3C">
        <w:rPr>
          <w:rFonts w:ascii="Times New Roman" w:hAnsi="Times New Roman" w:cs="Times New Roman"/>
          <w:sz w:val="24"/>
          <w:szCs w:val="24"/>
        </w:rPr>
        <w:t xml:space="preserve">ių ir Fabijoniškių mikrorajonų. Ši teritorija – dalis Cedrono upelio kraštovaizdžio draustinio. Jame saugomas gilus Cedrono slėnis su upelio šlaituose esančiomis pievomis ir pavieniais ąžuolais. Teritorija pasižymi smarkiai banguotu paviršiumi. </w:t>
      </w:r>
    </w:p>
    <w:p w:rsidR="00EC2606" w:rsidRDefault="0008452A">
      <w:pPr>
        <w:rPr>
          <w:rFonts w:ascii="Times New Roman" w:hAnsi="Times New Roman" w:cs="Times New Roman"/>
          <w:sz w:val="24"/>
          <w:szCs w:val="24"/>
        </w:rPr>
      </w:pPr>
      <w:r>
        <w:rPr>
          <w:rFonts w:ascii="Times New Roman" w:hAnsi="Times New Roman" w:cs="Times New Roman"/>
          <w:sz w:val="24"/>
          <w:szCs w:val="24"/>
        </w:rPr>
        <w:t>Mokinių komandos pasiskirsto atsakomybėmis (fotografavimas, keltąsos fiksavimas, objektų atrinkimas ir apibūdinimas, išmaniųjų programėlių naudojimas, darbo pristatymas klasės draugams ir kt), keliauja miškelio takeliais, atlieka pirminį teritorijos tyrimą  ir ieško būsimų pažintinio takos stotelių vietų. Būsimo pažintinio tako ilgis – nuo 0,5 km iki 1 km., planuojamų stotelių skaičius – 5-7. Kuriamas takas gali būti radialinis arba linijinis. Stotelių tematika įvairi: gamtinė, kultūrinė, ekologinė. Stoteles mokiniams rekomenduojama fiksuoti išskirtinėse ir ypatingose vietose: tai gali būti paviršiaus reljefo įdomybė, paukščių stebėjimo vieta, hidroobjektas, augalų pažinimo salelė, urbanistinė stotelė, poilsio ar mankštos vietelė, o gal fotomedžioklei skirta aikštelė. Mokiniai užsiėmimo metu naudojasi  išmaniosiomis programė</w:t>
      </w:r>
      <w:r w:rsidR="00CB4542">
        <w:rPr>
          <w:rFonts w:ascii="Times New Roman" w:hAnsi="Times New Roman" w:cs="Times New Roman"/>
          <w:sz w:val="24"/>
          <w:szCs w:val="24"/>
        </w:rPr>
        <w:t>lėmis (pvz., Komoot</w:t>
      </w:r>
      <w:r>
        <w:rPr>
          <w:rFonts w:ascii="Times New Roman" w:hAnsi="Times New Roman" w:cs="Times New Roman"/>
          <w:sz w:val="24"/>
          <w:szCs w:val="24"/>
        </w:rPr>
        <w:t xml:space="preserve">, Lens, Merlin Bird ID ir kt.). Išmaniojoje programėlėje </w:t>
      </w:r>
      <w:r w:rsidR="00CB4542">
        <w:rPr>
          <w:rFonts w:ascii="Times New Roman" w:hAnsi="Times New Roman" w:cs="Times New Roman"/>
          <w:sz w:val="24"/>
          <w:szCs w:val="24"/>
        </w:rPr>
        <w:t>„Komoot“</w:t>
      </w:r>
      <w:bookmarkStart w:id="0" w:name="_GoBack"/>
      <w:bookmarkEnd w:id="0"/>
      <w:r w:rsidR="00CB4542">
        <w:rPr>
          <w:rFonts w:ascii="Times New Roman" w:hAnsi="Times New Roman" w:cs="Times New Roman"/>
          <w:sz w:val="24"/>
          <w:szCs w:val="24"/>
        </w:rPr>
        <w:t xml:space="preserve"> </w:t>
      </w:r>
      <w:r>
        <w:rPr>
          <w:rFonts w:ascii="Times New Roman" w:hAnsi="Times New Roman" w:cs="Times New Roman"/>
          <w:sz w:val="24"/>
          <w:szCs w:val="24"/>
        </w:rPr>
        <w:t>mokiniai fiksuoja pažintinio tako keltąsą, sužymi taškus – stoteles.</w:t>
      </w:r>
    </w:p>
    <w:p w:rsidR="0008452A" w:rsidRDefault="0008452A" w:rsidP="0008452A">
      <w:pPr>
        <w:rPr>
          <w:rFonts w:ascii="Times New Roman" w:hAnsi="Times New Roman" w:cs="Times New Roman"/>
          <w:sz w:val="24"/>
          <w:szCs w:val="24"/>
        </w:rPr>
      </w:pPr>
      <w:r>
        <w:rPr>
          <w:rFonts w:ascii="Times New Roman" w:hAnsi="Times New Roman" w:cs="Times New Roman"/>
          <w:sz w:val="24"/>
          <w:szCs w:val="24"/>
        </w:rPr>
        <w:t>Atliekamą darbą mokiniai gali fiksuoti ir juodraštyje/užduočių lape.</w:t>
      </w:r>
    </w:p>
    <w:p w:rsidR="0008452A" w:rsidRDefault="0008452A" w:rsidP="0008452A">
      <w:pPr>
        <w:rPr>
          <w:rFonts w:ascii="Times New Roman" w:hAnsi="Times New Roman" w:cs="Times New Roman"/>
          <w:sz w:val="24"/>
          <w:szCs w:val="24"/>
        </w:rPr>
      </w:pPr>
      <w:r>
        <w:rPr>
          <w:rFonts w:ascii="Times New Roman" w:hAnsi="Times New Roman" w:cs="Times New Roman"/>
          <w:sz w:val="24"/>
          <w:szCs w:val="24"/>
        </w:rPr>
        <w:t>Kuriamo pažintinio tako stotelių lapas:</w:t>
      </w:r>
    </w:p>
    <w:tbl>
      <w:tblPr>
        <w:tblStyle w:val="TableGrid"/>
        <w:tblW w:w="0" w:type="auto"/>
        <w:tblLook w:val="04A0" w:firstRow="1" w:lastRow="0" w:firstColumn="1" w:lastColumn="0" w:noHBand="0" w:noVBand="1"/>
      </w:tblPr>
      <w:tblGrid>
        <w:gridCol w:w="3209"/>
        <w:gridCol w:w="3209"/>
        <w:gridCol w:w="3210"/>
      </w:tblGrid>
      <w:tr w:rsidR="0008452A" w:rsidTr="00556390">
        <w:tc>
          <w:tcPr>
            <w:tcW w:w="3209" w:type="dxa"/>
          </w:tcPr>
          <w:p w:rsidR="0008452A" w:rsidRDefault="0008452A" w:rsidP="00556390">
            <w:pPr>
              <w:jc w:val="center"/>
              <w:rPr>
                <w:rFonts w:ascii="Times New Roman" w:hAnsi="Times New Roman" w:cs="Times New Roman"/>
                <w:sz w:val="24"/>
                <w:szCs w:val="24"/>
              </w:rPr>
            </w:pPr>
            <w:r>
              <w:rPr>
                <w:rFonts w:ascii="Times New Roman" w:hAnsi="Times New Roman" w:cs="Times New Roman"/>
                <w:sz w:val="24"/>
                <w:szCs w:val="24"/>
              </w:rPr>
              <w:t>Stotelė/pavadinimas</w:t>
            </w:r>
          </w:p>
        </w:tc>
        <w:tc>
          <w:tcPr>
            <w:tcW w:w="3209" w:type="dxa"/>
          </w:tcPr>
          <w:p w:rsidR="0008452A" w:rsidRDefault="0008452A" w:rsidP="00556390">
            <w:pPr>
              <w:jc w:val="center"/>
              <w:rPr>
                <w:rFonts w:ascii="Times New Roman" w:hAnsi="Times New Roman" w:cs="Times New Roman"/>
                <w:sz w:val="24"/>
                <w:szCs w:val="24"/>
              </w:rPr>
            </w:pPr>
            <w:r>
              <w:rPr>
                <w:rFonts w:ascii="Times New Roman" w:hAnsi="Times New Roman" w:cs="Times New Roman"/>
                <w:sz w:val="24"/>
                <w:szCs w:val="24"/>
              </w:rPr>
              <w:t>Kodėl siūlome šioje vietoje įkurti stotelę?</w:t>
            </w:r>
          </w:p>
        </w:tc>
        <w:tc>
          <w:tcPr>
            <w:tcW w:w="3210" w:type="dxa"/>
          </w:tcPr>
          <w:p w:rsidR="0008452A" w:rsidRDefault="0008452A" w:rsidP="00556390">
            <w:pPr>
              <w:jc w:val="center"/>
              <w:rPr>
                <w:rFonts w:ascii="Times New Roman" w:hAnsi="Times New Roman" w:cs="Times New Roman"/>
                <w:sz w:val="24"/>
                <w:szCs w:val="24"/>
              </w:rPr>
            </w:pPr>
            <w:r>
              <w:rPr>
                <w:rFonts w:ascii="Times New Roman" w:hAnsi="Times New Roman" w:cs="Times New Roman"/>
                <w:sz w:val="24"/>
                <w:szCs w:val="24"/>
              </w:rPr>
              <w:t>Pastabos</w:t>
            </w:r>
          </w:p>
          <w:p w:rsidR="0008452A" w:rsidRDefault="0008452A" w:rsidP="00556390">
            <w:pPr>
              <w:jc w:val="center"/>
              <w:rPr>
                <w:rFonts w:ascii="Times New Roman" w:hAnsi="Times New Roman" w:cs="Times New Roman"/>
                <w:sz w:val="24"/>
                <w:szCs w:val="24"/>
              </w:rPr>
            </w:pPr>
          </w:p>
        </w:tc>
      </w:tr>
      <w:tr w:rsidR="0008452A" w:rsidTr="00556390">
        <w:tc>
          <w:tcPr>
            <w:tcW w:w="3209" w:type="dxa"/>
          </w:tcPr>
          <w:p w:rsidR="0008452A" w:rsidRDefault="0008452A" w:rsidP="00556390">
            <w:pPr>
              <w:rPr>
                <w:rFonts w:ascii="Times New Roman" w:hAnsi="Times New Roman" w:cs="Times New Roman"/>
                <w:sz w:val="24"/>
                <w:szCs w:val="24"/>
              </w:rPr>
            </w:pPr>
          </w:p>
        </w:tc>
        <w:tc>
          <w:tcPr>
            <w:tcW w:w="3209" w:type="dxa"/>
          </w:tcPr>
          <w:p w:rsidR="0008452A" w:rsidRDefault="0008452A" w:rsidP="00556390">
            <w:pPr>
              <w:rPr>
                <w:rFonts w:ascii="Times New Roman" w:hAnsi="Times New Roman" w:cs="Times New Roman"/>
                <w:sz w:val="24"/>
                <w:szCs w:val="24"/>
              </w:rPr>
            </w:pPr>
          </w:p>
        </w:tc>
        <w:tc>
          <w:tcPr>
            <w:tcW w:w="3210" w:type="dxa"/>
          </w:tcPr>
          <w:p w:rsidR="0008452A" w:rsidRDefault="0008452A" w:rsidP="00556390">
            <w:pPr>
              <w:rPr>
                <w:rFonts w:ascii="Times New Roman" w:hAnsi="Times New Roman" w:cs="Times New Roman"/>
                <w:sz w:val="24"/>
                <w:szCs w:val="24"/>
              </w:rPr>
            </w:pPr>
          </w:p>
        </w:tc>
      </w:tr>
      <w:tr w:rsidR="0008452A" w:rsidTr="00556390">
        <w:tc>
          <w:tcPr>
            <w:tcW w:w="3209" w:type="dxa"/>
          </w:tcPr>
          <w:p w:rsidR="0008452A" w:rsidRDefault="0008452A" w:rsidP="00556390">
            <w:pPr>
              <w:rPr>
                <w:rFonts w:ascii="Times New Roman" w:hAnsi="Times New Roman" w:cs="Times New Roman"/>
                <w:sz w:val="24"/>
                <w:szCs w:val="24"/>
              </w:rPr>
            </w:pPr>
          </w:p>
        </w:tc>
        <w:tc>
          <w:tcPr>
            <w:tcW w:w="3209" w:type="dxa"/>
          </w:tcPr>
          <w:p w:rsidR="0008452A" w:rsidRDefault="0008452A" w:rsidP="00556390">
            <w:pPr>
              <w:rPr>
                <w:rFonts w:ascii="Times New Roman" w:hAnsi="Times New Roman" w:cs="Times New Roman"/>
                <w:sz w:val="24"/>
                <w:szCs w:val="24"/>
              </w:rPr>
            </w:pPr>
          </w:p>
        </w:tc>
        <w:tc>
          <w:tcPr>
            <w:tcW w:w="3210" w:type="dxa"/>
          </w:tcPr>
          <w:p w:rsidR="0008452A" w:rsidRDefault="0008452A" w:rsidP="00556390">
            <w:pPr>
              <w:rPr>
                <w:rFonts w:ascii="Times New Roman" w:hAnsi="Times New Roman" w:cs="Times New Roman"/>
                <w:sz w:val="24"/>
                <w:szCs w:val="24"/>
              </w:rPr>
            </w:pPr>
          </w:p>
        </w:tc>
      </w:tr>
      <w:tr w:rsidR="0008452A" w:rsidTr="00556390">
        <w:tc>
          <w:tcPr>
            <w:tcW w:w="3209" w:type="dxa"/>
          </w:tcPr>
          <w:p w:rsidR="0008452A" w:rsidRDefault="0008452A" w:rsidP="00556390">
            <w:pPr>
              <w:rPr>
                <w:rFonts w:ascii="Times New Roman" w:hAnsi="Times New Roman" w:cs="Times New Roman"/>
                <w:sz w:val="24"/>
                <w:szCs w:val="24"/>
              </w:rPr>
            </w:pPr>
          </w:p>
        </w:tc>
        <w:tc>
          <w:tcPr>
            <w:tcW w:w="3209" w:type="dxa"/>
          </w:tcPr>
          <w:p w:rsidR="0008452A" w:rsidRDefault="0008452A" w:rsidP="00556390">
            <w:pPr>
              <w:rPr>
                <w:rFonts w:ascii="Times New Roman" w:hAnsi="Times New Roman" w:cs="Times New Roman"/>
                <w:sz w:val="24"/>
                <w:szCs w:val="24"/>
              </w:rPr>
            </w:pPr>
          </w:p>
        </w:tc>
        <w:tc>
          <w:tcPr>
            <w:tcW w:w="3210" w:type="dxa"/>
          </w:tcPr>
          <w:p w:rsidR="0008452A" w:rsidRDefault="0008452A" w:rsidP="00556390">
            <w:pPr>
              <w:rPr>
                <w:rFonts w:ascii="Times New Roman" w:hAnsi="Times New Roman" w:cs="Times New Roman"/>
                <w:sz w:val="24"/>
                <w:szCs w:val="24"/>
              </w:rPr>
            </w:pPr>
          </w:p>
        </w:tc>
      </w:tr>
      <w:tr w:rsidR="0008452A" w:rsidTr="00556390">
        <w:tc>
          <w:tcPr>
            <w:tcW w:w="3209" w:type="dxa"/>
          </w:tcPr>
          <w:p w:rsidR="0008452A" w:rsidRDefault="0008452A" w:rsidP="00556390">
            <w:pPr>
              <w:rPr>
                <w:rFonts w:ascii="Times New Roman" w:hAnsi="Times New Roman" w:cs="Times New Roman"/>
                <w:sz w:val="24"/>
                <w:szCs w:val="24"/>
              </w:rPr>
            </w:pPr>
          </w:p>
        </w:tc>
        <w:tc>
          <w:tcPr>
            <w:tcW w:w="3209" w:type="dxa"/>
          </w:tcPr>
          <w:p w:rsidR="0008452A" w:rsidRDefault="0008452A" w:rsidP="00556390">
            <w:pPr>
              <w:rPr>
                <w:rFonts w:ascii="Times New Roman" w:hAnsi="Times New Roman" w:cs="Times New Roman"/>
                <w:sz w:val="24"/>
                <w:szCs w:val="24"/>
              </w:rPr>
            </w:pPr>
          </w:p>
        </w:tc>
        <w:tc>
          <w:tcPr>
            <w:tcW w:w="3210" w:type="dxa"/>
          </w:tcPr>
          <w:p w:rsidR="0008452A" w:rsidRDefault="0008452A" w:rsidP="00556390">
            <w:pPr>
              <w:rPr>
                <w:rFonts w:ascii="Times New Roman" w:hAnsi="Times New Roman" w:cs="Times New Roman"/>
                <w:sz w:val="24"/>
                <w:szCs w:val="24"/>
              </w:rPr>
            </w:pPr>
          </w:p>
        </w:tc>
      </w:tr>
      <w:tr w:rsidR="0008452A" w:rsidTr="00556390">
        <w:tc>
          <w:tcPr>
            <w:tcW w:w="3209" w:type="dxa"/>
          </w:tcPr>
          <w:p w:rsidR="0008452A" w:rsidRDefault="0008452A" w:rsidP="00556390">
            <w:pPr>
              <w:rPr>
                <w:rFonts w:ascii="Times New Roman" w:hAnsi="Times New Roman" w:cs="Times New Roman"/>
                <w:sz w:val="24"/>
                <w:szCs w:val="24"/>
              </w:rPr>
            </w:pPr>
          </w:p>
        </w:tc>
        <w:tc>
          <w:tcPr>
            <w:tcW w:w="3209" w:type="dxa"/>
          </w:tcPr>
          <w:p w:rsidR="0008452A" w:rsidRDefault="0008452A" w:rsidP="00556390">
            <w:pPr>
              <w:rPr>
                <w:rFonts w:ascii="Times New Roman" w:hAnsi="Times New Roman" w:cs="Times New Roman"/>
                <w:sz w:val="24"/>
                <w:szCs w:val="24"/>
              </w:rPr>
            </w:pPr>
          </w:p>
        </w:tc>
        <w:tc>
          <w:tcPr>
            <w:tcW w:w="3210" w:type="dxa"/>
          </w:tcPr>
          <w:p w:rsidR="0008452A" w:rsidRDefault="0008452A" w:rsidP="00556390">
            <w:pPr>
              <w:rPr>
                <w:rFonts w:ascii="Times New Roman" w:hAnsi="Times New Roman" w:cs="Times New Roman"/>
                <w:sz w:val="24"/>
                <w:szCs w:val="24"/>
              </w:rPr>
            </w:pPr>
          </w:p>
        </w:tc>
      </w:tr>
      <w:tr w:rsidR="0008452A" w:rsidTr="00556390">
        <w:tc>
          <w:tcPr>
            <w:tcW w:w="3209" w:type="dxa"/>
          </w:tcPr>
          <w:p w:rsidR="0008452A" w:rsidRDefault="0008452A" w:rsidP="00556390">
            <w:pPr>
              <w:rPr>
                <w:rFonts w:ascii="Times New Roman" w:hAnsi="Times New Roman" w:cs="Times New Roman"/>
                <w:sz w:val="24"/>
                <w:szCs w:val="24"/>
              </w:rPr>
            </w:pPr>
          </w:p>
        </w:tc>
        <w:tc>
          <w:tcPr>
            <w:tcW w:w="3209" w:type="dxa"/>
          </w:tcPr>
          <w:p w:rsidR="0008452A" w:rsidRDefault="0008452A" w:rsidP="00556390">
            <w:pPr>
              <w:rPr>
                <w:rFonts w:ascii="Times New Roman" w:hAnsi="Times New Roman" w:cs="Times New Roman"/>
                <w:sz w:val="24"/>
                <w:szCs w:val="24"/>
              </w:rPr>
            </w:pPr>
          </w:p>
        </w:tc>
        <w:tc>
          <w:tcPr>
            <w:tcW w:w="3210" w:type="dxa"/>
          </w:tcPr>
          <w:p w:rsidR="0008452A" w:rsidRDefault="0008452A" w:rsidP="00556390">
            <w:pPr>
              <w:rPr>
                <w:rFonts w:ascii="Times New Roman" w:hAnsi="Times New Roman" w:cs="Times New Roman"/>
                <w:sz w:val="24"/>
                <w:szCs w:val="24"/>
              </w:rPr>
            </w:pPr>
          </w:p>
        </w:tc>
      </w:tr>
      <w:tr w:rsidR="0008452A" w:rsidTr="00556390">
        <w:tc>
          <w:tcPr>
            <w:tcW w:w="3209" w:type="dxa"/>
          </w:tcPr>
          <w:p w:rsidR="0008452A" w:rsidRDefault="0008452A" w:rsidP="00556390">
            <w:pPr>
              <w:rPr>
                <w:rFonts w:ascii="Times New Roman" w:hAnsi="Times New Roman" w:cs="Times New Roman"/>
                <w:sz w:val="24"/>
                <w:szCs w:val="24"/>
              </w:rPr>
            </w:pPr>
          </w:p>
        </w:tc>
        <w:tc>
          <w:tcPr>
            <w:tcW w:w="3209" w:type="dxa"/>
          </w:tcPr>
          <w:p w:rsidR="0008452A" w:rsidRDefault="0008452A" w:rsidP="00556390">
            <w:pPr>
              <w:rPr>
                <w:rFonts w:ascii="Times New Roman" w:hAnsi="Times New Roman" w:cs="Times New Roman"/>
                <w:sz w:val="24"/>
                <w:szCs w:val="24"/>
              </w:rPr>
            </w:pPr>
          </w:p>
        </w:tc>
        <w:tc>
          <w:tcPr>
            <w:tcW w:w="3210" w:type="dxa"/>
          </w:tcPr>
          <w:p w:rsidR="0008452A" w:rsidRDefault="0008452A" w:rsidP="00556390">
            <w:pPr>
              <w:rPr>
                <w:rFonts w:ascii="Times New Roman" w:hAnsi="Times New Roman" w:cs="Times New Roman"/>
                <w:sz w:val="24"/>
                <w:szCs w:val="24"/>
              </w:rPr>
            </w:pPr>
          </w:p>
        </w:tc>
      </w:tr>
    </w:tbl>
    <w:p w:rsidR="0008452A" w:rsidRDefault="0008452A" w:rsidP="0008452A">
      <w:pPr>
        <w:rPr>
          <w:rFonts w:ascii="Times New Roman" w:hAnsi="Times New Roman" w:cs="Times New Roman"/>
          <w:sz w:val="24"/>
          <w:szCs w:val="24"/>
        </w:rPr>
      </w:pPr>
    </w:p>
    <w:p w:rsidR="0008452A" w:rsidRDefault="0008452A" w:rsidP="0008452A">
      <w:pPr>
        <w:rPr>
          <w:rFonts w:ascii="Times New Roman" w:hAnsi="Times New Roman" w:cs="Times New Roman"/>
          <w:sz w:val="24"/>
          <w:szCs w:val="24"/>
        </w:rPr>
      </w:pPr>
      <w:r>
        <w:rPr>
          <w:rFonts w:ascii="Times New Roman" w:hAnsi="Times New Roman" w:cs="Times New Roman"/>
          <w:sz w:val="24"/>
          <w:szCs w:val="24"/>
        </w:rPr>
        <w:t>Sukurtu (ne) virtualiu pažintiniu taku komandos praveda klasės draugus ir jiems jį pristato.</w:t>
      </w:r>
    </w:p>
    <w:p w:rsidR="0008452A" w:rsidRDefault="0008452A" w:rsidP="0008452A">
      <w:pPr>
        <w:rPr>
          <w:rFonts w:ascii="Times New Roman" w:hAnsi="Times New Roman" w:cs="Times New Roman"/>
          <w:sz w:val="24"/>
          <w:szCs w:val="24"/>
        </w:rPr>
      </w:pPr>
      <w:r>
        <w:rPr>
          <w:rFonts w:ascii="Times New Roman" w:hAnsi="Times New Roman" w:cs="Times New Roman"/>
          <w:sz w:val="24"/>
          <w:szCs w:val="24"/>
        </w:rPr>
        <w:t xml:space="preserve">Refleksija. Kiekvienas mokinys 2-3 sakiniais apibūdina, ką išsineša iš šios pamokos. </w:t>
      </w:r>
    </w:p>
    <w:sectPr w:rsidR="0008452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98D"/>
    <w:multiLevelType w:val="hybridMultilevel"/>
    <w:tmpl w:val="765042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CC02579"/>
    <w:multiLevelType w:val="hybridMultilevel"/>
    <w:tmpl w:val="82C8B0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CA"/>
    <w:rsid w:val="00023626"/>
    <w:rsid w:val="0008452A"/>
    <w:rsid w:val="00276E34"/>
    <w:rsid w:val="002A50CA"/>
    <w:rsid w:val="00364033"/>
    <w:rsid w:val="005A5F3C"/>
    <w:rsid w:val="00811602"/>
    <w:rsid w:val="00957561"/>
    <w:rsid w:val="00A05AE7"/>
    <w:rsid w:val="00A775C9"/>
    <w:rsid w:val="00B37B3D"/>
    <w:rsid w:val="00B52AFC"/>
    <w:rsid w:val="00CB4542"/>
    <w:rsid w:val="00D0115B"/>
    <w:rsid w:val="00EC2606"/>
    <w:rsid w:val="00ED215C"/>
    <w:rsid w:val="00FB17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E96F"/>
  <w15:chartTrackingRefBased/>
  <w15:docId w15:val="{06B929E0-9657-4D4E-A6D9-6AB32C6E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0CA"/>
    <w:pPr>
      <w:ind w:left="720"/>
      <w:contextualSpacing/>
    </w:pPr>
  </w:style>
  <w:style w:type="table" w:styleId="TableGrid">
    <w:name w:val="Table Grid"/>
    <w:basedOn w:val="TableNormal"/>
    <w:uiPriority w:val="39"/>
    <w:rsid w:val="00ED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1166</Words>
  <Characters>665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Dalius</dc:creator>
  <cp:keywords/>
  <dc:description/>
  <cp:lastModifiedBy>Dalius</cp:lastModifiedBy>
  <cp:revision>6</cp:revision>
  <dcterms:created xsi:type="dcterms:W3CDTF">2025-04-30T20:09:00Z</dcterms:created>
  <dcterms:modified xsi:type="dcterms:W3CDTF">2025-05-05T16:38:00Z</dcterms:modified>
</cp:coreProperties>
</file>