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2C821" w14:textId="79432EE2" w:rsidR="002A1AC3" w:rsidRPr="006911FF" w:rsidRDefault="002B1E93" w:rsidP="002A1AC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Įvardis sakinyje</w:t>
      </w:r>
    </w:p>
    <w:p w14:paraId="3591877E" w14:textId="77777777" w:rsidR="006D7401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775FB774" w14:textId="3B9E7423" w:rsidR="004D432B" w:rsidRDefault="000E1688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         </w:t>
      </w:r>
      <w:r w:rsidR="006D7401" w:rsidRPr="006D74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Įvardis</w:t>
      </w:r>
      <w:r w:rsidR="006D740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kalbos dalis, kuri nurodo asmenį, daiktą, ypatybę arba skaičių, bet jų nepavadina. </w:t>
      </w:r>
    </w:p>
    <w:p w14:paraId="20A42AAD" w14:textId="654F6B22" w:rsidR="006D7401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Įvardis tekste pavaduoja daiktavardį, būdvardį ir skaitvardį. Pakeisdamas įvardis gali pakartoti jų giminę, skaičių ir linksnį. </w:t>
      </w:r>
    </w:p>
    <w:p w14:paraId="37B09645" w14:textId="216A7D74" w:rsidR="006D7401" w:rsidRDefault="000E1688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="006D7401" w:rsidRPr="00DE09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Pagal reikšmę skiriami</w:t>
      </w:r>
      <w:r w:rsidR="006D7401" w:rsidRPr="006D740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7 įvardžių skyriai: </w:t>
      </w:r>
    </w:p>
    <w:p w14:paraId="6590126B" w14:textId="6E448AA4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asmeniniai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(</w:t>
      </w:r>
      <w:r w:rsidR="00536C95"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aš, tu, jis, ji…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), </w:t>
      </w:r>
    </w:p>
    <w:p w14:paraId="49AB3BFE" w14:textId="0C31558E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sangrąžinis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savęs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), </w:t>
      </w:r>
    </w:p>
    <w:p w14:paraId="53943077" w14:textId="580FC276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savybiniai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manas, tavas, savas, maniškis…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), </w:t>
      </w:r>
    </w:p>
    <w:p w14:paraId="587D5848" w14:textId="6FA40DCB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parodomieji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tas, ta, šitas, anas, toks, šioks, anoks…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), </w:t>
      </w:r>
    </w:p>
    <w:p w14:paraId="225A4BEE" w14:textId="03B2184A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pažymimieji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visas, visoks, kitas, kitoks, kiekvienas, niekas, joks…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), </w:t>
      </w:r>
    </w:p>
    <w:p w14:paraId="2D6E81BE" w14:textId="45D1CEE3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klausiamieji 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ir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 santykiniai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kas, koks, kuris, katras, keli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…), </w:t>
      </w:r>
    </w:p>
    <w:p w14:paraId="1DC22C42" w14:textId="625A85F4" w:rsidR="006D7401" w:rsidRPr="00536C95" w:rsidRDefault="006D7401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536C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  <w14:ligatures w14:val="none"/>
        </w:rPr>
        <w:t>nežymimieji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 (pavyzdžiui: </w:t>
      </w:r>
      <w:r w:rsidRPr="00536C9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lt-LT"/>
          <w14:ligatures w14:val="none"/>
        </w:rPr>
        <w:t>kažkas, kažin koks, kai kas, bet kas</w:t>
      </w:r>
      <w:r w:rsidRPr="00536C9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…).</w:t>
      </w:r>
    </w:p>
    <w:p w14:paraId="1FE30F6E" w14:textId="0D5B8D9B" w:rsidR="00491E75" w:rsidRPr="006D7401" w:rsidRDefault="000E1688" w:rsidP="00491E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="006D7401" w:rsidRPr="00DE09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Įvardis sakinyje gali eiti</w:t>
      </w:r>
      <w:r w:rsidR="006D7401" w:rsidRPr="006D740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:</w:t>
      </w:r>
    </w:p>
    <w:p w14:paraId="29053217" w14:textId="4C446515" w:rsidR="00491E75" w:rsidRDefault="00491E75" w:rsidP="00491E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491E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–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6D740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veiksniu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;</w:t>
      </w:r>
    </w:p>
    <w:p w14:paraId="7295A9E0" w14:textId="6CFAAA34" w:rsidR="006D7401" w:rsidRDefault="00491E75" w:rsidP="00491E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491E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="006D740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papildiniu;</w:t>
      </w:r>
    </w:p>
    <w:p w14:paraId="11CABDD4" w14:textId="370A0491" w:rsidR="00491E75" w:rsidRPr="00491E75" w:rsidRDefault="006D7401" w:rsidP="00491E7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491E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pažyminiu</w:t>
      </w:r>
      <w:r w:rsidR="00491E75" w:rsidRPr="00491E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 </w:t>
      </w:r>
    </w:p>
    <w:p w14:paraId="2837AFDF" w14:textId="163123B6" w:rsidR="00731476" w:rsidRPr="004D432B" w:rsidRDefault="00731476" w:rsidP="00C2305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lt-LT"/>
          <w14:ligatures w14:val="none"/>
        </w:rPr>
      </w:pPr>
    </w:p>
    <w:p w14:paraId="3922BE4E" w14:textId="1EF1E0AF" w:rsidR="000E1688" w:rsidRDefault="00073092" w:rsidP="000E1688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1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</w:t>
      </w:r>
      <w:r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u</w:t>
      </w:r>
      <w:proofErr w:type="spellStart"/>
      <w:r w:rsidR="007047BE" w:rsidRP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1BEB67D9" w14:textId="77777777" w:rsidR="00BA242A" w:rsidRDefault="00BA242A" w:rsidP="000E1688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30FBB465" w14:textId="24F64AA5" w:rsidR="00BA242A" w:rsidRPr="00BA242A" w:rsidRDefault="00BA242A" w:rsidP="00BA242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BA242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Perskaitykite ir suraskite įvardžius. 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Juos pabraukite.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Nurodykite, kuo 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šie įvardžiai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eina sakinyje. </w:t>
      </w:r>
    </w:p>
    <w:p w14:paraId="4045610E" w14:textId="77777777" w:rsidR="000E1688" w:rsidRDefault="000E1688" w:rsidP="000E1688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40A93ADD" w14:textId="70979E0F" w:rsidR="000E1688" w:rsidRDefault="000E1688" w:rsidP="000E1688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Lukiškių aikštė</w:t>
      </w:r>
    </w:p>
    <w:p w14:paraId="61ABEE8C" w14:textId="77777777" w:rsidR="00BA242A" w:rsidRDefault="00BA242A" w:rsidP="000E1688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05B4CE42" w14:textId="38FD3466" w:rsidR="009369B9" w:rsidRPr="009369B9" w:rsidRDefault="009369B9" w:rsidP="004F6EE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u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kiškių aikšt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ė</w:t>
      </w:r>
      <w:r w:rsid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–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viena pagrindinių Vilniaus aikščių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Ji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pradėta formuoti 18 a. viduryje. 19 a. 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pradžioje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šioje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aikštėje Rusijos kariniai daliniai rengdavo pratybas. 1852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aikštės pietine dalimi </w:t>
      </w:r>
      <w:r w:rsidR="00024EA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buvo 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nutiestas Šv.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Jurgio (dabar </w:t>
      </w:r>
      <w:r w:rsidR="00024EA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Gedimino) prospektas. Nutiesus geležinkelį senieji </w:t>
      </w:r>
      <w:proofErr w:type="spellStart"/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turgūs</w:t>
      </w:r>
      <w:proofErr w:type="spellEnd"/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pradėjo trukdyti miesto plėtrai, todėl 1860</w:t>
      </w:r>
      <w:r w:rsidR="00DE096B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aikštėje buvo įrengtas</w:t>
      </w:r>
      <w:r>
        <w:rPr>
          <w:rFonts w:ascii="Palemonas" w:hAnsi="Palemonas"/>
          <w:sz w:val="30"/>
          <w:szCs w:val="30"/>
          <w:shd w:val="clear" w:color="auto" w:fill="FBFBFB"/>
        </w:rPr>
        <w:t xml:space="preserve">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svarbiausias miesto turgus, arbatinė. </w:t>
      </w:r>
    </w:p>
    <w:p w14:paraId="1980F781" w14:textId="7E49A9BD" w:rsidR="00B8584A" w:rsidRDefault="009369B9" w:rsidP="004F6EE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Per </w:t>
      </w:r>
      <w:hyperlink r:id="rId5" w:tooltip="" w:history="1">
        <w:r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1863–1864</w:t>
        </w:r>
        <w:r w:rsidR="004165A2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 xml:space="preserve"> m. </w:t>
        </w:r>
        <w:r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sukilimą</w:t>
        </w:r>
      </w:hyperlink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aikštėje Vilniaus generalgubernatoriaus </w:t>
      </w:r>
      <w:hyperlink r:id="rId6" w:tooltip="" w:history="1">
        <w:r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M. Muravjovo</w:t>
        </w:r>
      </w:hyperlink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įsakymu Rusijos kariuomenė vykdė egzekucijas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Buvo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pakartas 21 sukilimo dalyvis, tarp jų 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hyperlink r:id="rId7" w:history="1">
        <w:r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Z. Sierakauskas</w:t>
        </w:r>
      </w:hyperlink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ir </w:t>
      </w:r>
      <w:hyperlink r:id="rId8" w:history="1">
        <w:r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K. Kalinauskas</w:t>
        </w:r>
      </w:hyperlink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1920 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m. 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šių žmonių</w:t>
      </w:r>
      <w:r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atminimui įrengta memorialinė akmens plokštė. </w:t>
      </w:r>
      <w:r w:rsid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</w:t>
      </w:r>
    </w:p>
    <w:p w14:paraId="75C671F5" w14:textId="3A6ABCE1" w:rsidR="009369B9" w:rsidRDefault="00B8584A" w:rsidP="004F6EE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="002B1260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1875 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m. 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buvo parengtas </w:t>
      </w:r>
      <w:r w:rsidR="002B1260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Vilniaus miesto plan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as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, lėmęs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Lukiškių aikšt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ė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s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pokyčius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 A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plink 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aikštę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2B126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buvo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pastatyta modernių pastatų: Teismo rūmai (dabar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Lietuvos apeliacinis teismas), mergaičių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lastRenderedPageBreak/>
        <w:t xml:space="preserve">gimnazija (dabar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– 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Lietuvos muzikos ir tea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tro akademija), pirklių klubas,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į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kurta </w:t>
      </w:r>
      <w:hyperlink r:id="rId9" w:history="1">
        <w:r w:rsidR="009369B9" w:rsidRPr="009369B9">
          <w:rPr>
            <w:rFonts w:ascii="Times New Roman" w:eastAsia="Times New Roman" w:hAnsi="Times New Roman" w:cs="Times New Roman"/>
            <w:kern w:val="36"/>
            <w:sz w:val="24"/>
            <w:szCs w:val="24"/>
            <w:lang w:eastAsia="lt-LT"/>
            <w14:ligatures w14:val="none"/>
          </w:rPr>
          <w:t>J. Montvilos</w:t>
        </w:r>
      </w:hyperlink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(Lukiškių) kolonija, aikštė įgavo kvadrato formą. Nuo 1897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="009369B9" w:rsidRPr="009369B9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čia stovėjo parodų ir cirko pastatas, jame buvo rengiamos žemės ūkio parodos, vyko cirko vaidinimai, vėliau imta rodyti kino filmus.</w:t>
      </w:r>
    </w:p>
    <w:p w14:paraId="76B2649D" w14:textId="7ACDBDD5" w:rsidR="00BA242A" w:rsidRDefault="00B8584A" w:rsidP="004F6EE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1900 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m. 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iš Katedros aikštės į Lukiškių aikštę buvo atkelta Šv. Jurgio, 1904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– </w:t>
      </w:r>
      <w:proofErr w:type="spellStart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begin"/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instrText xml:space="preserve"> HYPERLINK "https://www.vle.lt/straipsnis/kaziuko-muge/" \o "" </w:instrTex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separate"/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Kaziuko</w:t>
      </w:r>
      <w:proofErr w:type="spellEnd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mugė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end"/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20 a. pradžioje darbininkai aikštėje surengė </w:t>
      </w:r>
      <w:proofErr w:type="spellStart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anticarinių</w:t>
      </w:r>
      <w:proofErr w:type="spellEnd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sueigų</w:t>
      </w:r>
      <w:r w:rsidR="004165A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ir</w:t>
      </w:r>
      <w:r w:rsidR="004F6EE0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mitingų. Lenkijos okupacijos metais Lukiškių aikštėje buvo įrengti keli paviljonai, veikė turgus, vyko didelės </w:t>
      </w:r>
      <w:proofErr w:type="spellStart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Kaziuko</w:t>
      </w:r>
      <w:proofErr w:type="spellEnd"/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mugės, kariniai paradai, svarbių valstybės veikėjų ir svečių sutikimai. 1926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įvyko darbininkų protesto demonstracijų ir mitingų. SSRS okupavus Lietuvą Lukiškių aikštė buvo reprezentacinė miesto aikštė, per sovietines šventes pro ją žygiuodavo demonstracijos, kariniai paradai. 1940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-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41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ir 1944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-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52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 ši vieta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buvo vadinama Tarybų, 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o 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1952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-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19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91</w:t>
      </w:r>
      <w:r w:rsidR="004F6EE0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– Lenino aikšte</w:t>
      </w:r>
      <w:r w:rsidR="00BA242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 Jos centre buvo pastatytas Lenino paminklas, kuris, a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tkūrus Lietuvos nepriklausomybę</w:t>
      </w:r>
      <w:r w:rsidR="00BA242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, 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BA242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buvo</w:t>
      </w:r>
      <w:r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demontuotas. </w:t>
      </w:r>
    </w:p>
    <w:p w14:paraId="2BF9133D" w14:textId="02C0CB2B" w:rsidR="00B8584A" w:rsidRDefault="00BA242A" w:rsidP="004F6EE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Dabar 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Lukiškių aikštė 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yra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vilniečių poilsio vieta. 1994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begin"/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instrText xml:space="preserve"> HYPERLINK "https://www.vle.lt/42161" </w:instrTex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separate"/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B. Gajausko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fldChar w:fldCharType="end"/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 iniciatyva prie buvusių KGB rūmų iš visos Lietuvos pasipriešinimo sovietiniam okupaciniam režimui dalyvių ir jų šeimų narių suvežtų lauko akmenų pastatytas paminklas Skausmo piramidė žuvusių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jų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, nukentėjusių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jų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ir ištremtųjų atminimui. 1999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-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02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-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1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1 Seimo nutarimu Lukiškių aikštę buvo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numatyta paversti pagrindine valstybės reprezentacine aikšte su laisvės kovų memorialiniais akcentais. 2006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aikštės pietiniame </w:t>
      </w:r>
      <w:proofErr w:type="spellStart"/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prieaikštyje</w:t>
      </w:r>
      <w:proofErr w:type="spellEnd"/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pastatytas paminklas Lietuvos tremtiniams Jakutijoje. 2016–17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m.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Lukiškių aikštė 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buvo 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rekonstruota</w:t>
      </w:r>
      <w:r w:rsidR="00017892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. Oficialus jo</w:t>
      </w:r>
      <w:r w:rsidR="000E7A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s atidarymas įvyko 2018-0</w:t>
      </w:r>
      <w:r w:rsidR="00B8584A" w:rsidRPr="00B8584A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6.</w:t>
      </w:r>
    </w:p>
    <w:p w14:paraId="09AE449C" w14:textId="50050227" w:rsidR="00F74ECF" w:rsidRDefault="000E7A75" w:rsidP="00F74EC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         </w:t>
      </w:r>
      <w:r w:rsidR="00F74ECF" w:rsidRPr="000E7A75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  <w14:ligatures w14:val="none"/>
        </w:rPr>
        <w:t>Parengta pagal straipsnį (</w:t>
      </w:r>
      <w:hyperlink r:id="rId10" w:history="1">
        <w:r w:rsidRPr="00D917F0">
          <w:rPr>
            <w:rStyle w:val="Hipersaitas"/>
            <w:rFonts w:ascii="Times New Roman" w:eastAsia="Times New Roman" w:hAnsi="Times New Roman" w:cs="Times New Roman"/>
            <w:i/>
            <w:kern w:val="36"/>
            <w:sz w:val="20"/>
            <w:szCs w:val="20"/>
            <w:lang w:eastAsia="lt-LT"/>
            <w14:ligatures w14:val="none"/>
          </w:rPr>
          <w:t>https://www.vle.lt/straipsnis/lukiskiu-aikste/</w:t>
        </w:r>
      </w:hyperlink>
      <w:r w:rsidR="00F74ECF" w:rsidRPr="000E7A75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  <w14:ligatures w14:val="none"/>
        </w:rPr>
        <w:t>).</w:t>
      </w:r>
    </w:p>
    <w:p w14:paraId="68A8C6A6" w14:textId="77777777" w:rsidR="000E7A75" w:rsidRPr="000E7A75" w:rsidRDefault="000E7A75" w:rsidP="00F74EC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  <w14:ligatures w14:val="none"/>
        </w:rPr>
      </w:pPr>
    </w:p>
    <w:p w14:paraId="184ACB04" w14:textId="59C48385" w:rsidR="00BA242A" w:rsidRDefault="00F74ECF" w:rsidP="009369B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D83E7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t-LT"/>
          <w14:ligatures w14:val="none"/>
        </w:rPr>
        <w:drawing>
          <wp:inline distT="0" distB="0" distL="0" distR="0" wp14:anchorId="62F679FA" wp14:editId="13DDED21">
            <wp:extent cx="4931035" cy="3390265"/>
            <wp:effectExtent l="0" t="0" r="3175" b="635"/>
            <wp:docPr id="2" name="Paveikslėlis 2" descr="C:\Users\HP\Desktop\Įvardis sakinyje\Lukiškių aikšt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Įvardis sakinyje\Lukiškių aikštė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96" cy="34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B75C" w14:textId="09AE3D5C" w:rsidR="008A39B2" w:rsidRPr="000E7A75" w:rsidRDefault="008A39B2" w:rsidP="000E7A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 w:rsidRPr="000E7A75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lastRenderedPageBreak/>
        <w:t>2</w:t>
      </w:r>
      <w:proofErr w:type="gramEnd"/>
      <w:r w:rsidRPr="000E7A75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Pr="000E7A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14AB41FE" w14:textId="77777777" w:rsidR="000E1688" w:rsidRPr="00073092" w:rsidRDefault="000E1688" w:rsidP="008A39B2">
      <w:pPr>
        <w:pStyle w:val="Sraopastraipa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7A07B4AD" w14:textId="77777777" w:rsidR="000E1688" w:rsidRDefault="000E1688" w:rsidP="000E168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Apsižvalgykite aplinkui ir sugalvokite bei užrašykite po vieną sakinį apie tai, ką matote, iliustruojantį, kad įvardis gali eiti veiksniu, papildiniu ir pažyminiu. </w:t>
      </w:r>
    </w:p>
    <w:p w14:paraId="70056E30" w14:textId="77777777" w:rsidR="008A39B2" w:rsidRPr="00073092" w:rsidRDefault="008A39B2" w:rsidP="0007309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BEDBD78" w14:textId="021A159E" w:rsidR="00073092" w:rsidRDefault="008A39B2" w:rsidP="000E7A7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3</w:t>
      </w:r>
      <w:proofErr w:type="gramEnd"/>
      <w:r w:rsid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="0007309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6438C316" w14:textId="77777777" w:rsidR="000D1BD4" w:rsidRDefault="000D1BD4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4A8A7DAF" w14:textId="16883E19" w:rsidR="00073092" w:rsidRDefault="000D1BD4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Darbas p</w:t>
      </w:r>
      <w:r w:rsidRPr="000D1BD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oro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se. Vienas mokinys pasirenka netoliese esantį </w:t>
      </w:r>
      <w:r w:rsidR="00EB71C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objektą ir jį apibūdina vietoj daiktavardžių naudodamas tik įvardžius. Kitas mokinys turi atspėti, apie ką </w:t>
      </w:r>
      <w:r w:rsidR="000E7A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jo draugas </w:t>
      </w:r>
      <w:r w:rsidR="00EB71C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kalbama. Galima užduoti klausimus, į kuriuos galimi atsaky</w:t>
      </w:r>
      <w:r w:rsidR="000E7A75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ti tik</w:t>
      </w:r>
      <w:r w:rsidR="00EB71C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="00EB71C4" w:rsidRPr="00EB71C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lt-LT"/>
          <w14:ligatures w14:val="none"/>
        </w:rPr>
        <w:t>taip</w:t>
      </w:r>
      <w:r w:rsidR="00EB71C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arba </w:t>
      </w:r>
      <w:r w:rsidR="00EB71C4" w:rsidRPr="00EB71C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lt-LT"/>
          <w14:ligatures w14:val="none"/>
        </w:rPr>
        <w:t>ne</w:t>
      </w:r>
      <w:r w:rsidR="00EB71C4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. </w:t>
      </w:r>
    </w:p>
    <w:p w14:paraId="0F8B2141" w14:textId="77777777" w:rsidR="00800EF5" w:rsidRDefault="00800EF5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773DCE71" w14:textId="6ED1F4DE" w:rsidR="00800EF5" w:rsidRDefault="008A39B2" w:rsidP="00800E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>4</w:t>
      </w:r>
      <w:proofErr w:type="gramEnd"/>
      <w:r w:rsidR="00800EF5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lt-LT"/>
          <w14:ligatures w14:val="none"/>
        </w:rPr>
        <w:t xml:space="preserve"> u</w:t>
      </w:r>
      <w:proofErr w:type="spellStart"/>
      <w:r w:rsidR="00800E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>žduotis</w:t>
      </w:r>
      <w:proofErr w:type="spellEnd"/>
    </w:p>
    <w:p w14:paraId="278A1469" w14:textId="77777777" w:rsidR="00800EF5" w:rsidRDefault="00800EF5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138F408D" w14:textId="77777777" w:rsidR="00DD31A9" w:rsidRDefault="00DD31A9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Užbaikite patarles, įrašydami tinkamą įvardį:</w:t>
      </w:r>
    </w:p>
    <w:p w14:paraId="62CBF283" w14:textId="77777777" w:rsidR="00CE2574" w:rsidRDefault="00CE2574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B6ED401" w14:textId="5F10F104" w:rsidR="00DD31A9" w:rsidRDefault="00DD31A9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Ką duodi </w:t>
      </w:r>
      <w:r w:rsidR="00CE2574"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–</w:t>
      </w:r>
      <w:r w:rsidR="00705A3F"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_________ </w:t>
      </w:r>
      <w:r w:rsidR="00705A3F"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(tą)</w:t>
      </w:r>
      <w:r w:rsidR="00705A3F"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gauni.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</w:p>
    <w:p w14:paraId="59D03720" w14:textId="678B5DC6" w:rsidR="00CE2574" w:rsidRDefault="00CE2574" w:rsidP="00CE257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Nestatyk __________(savo) laimės rūm</w:t>
      </w:r>
      <w:r w:rsidR="00705A3F"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ų</w:t>
      </w: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ant _________(kito) griuvėsių.</w:t>
      </w:r>
    </w:p>
    <w:p w14:paraId="0684DB24" w14:textId="6AB79EE2" w:rsidR="00CE2574" w:rsidRDefault="00705A3F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Geriau su ________(savimi) vienas nei su blogu draugu.</w:t>
      </w:r>
    </w:p>
    <w:p w14:paraId="649685F3" w14:textId="77777777" w:rsidR="00705A3F" w:rsidRPr="004418A1" w:rsidRDefault="00705A3F" w:rsidP="00705A3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Nesijuok iš __________(kito) nelaimės.</w:t>
      </w:r>
    </w:p>
    <w:p w14:paraId="26CC73C1" w14:textId="77777777" w:rsidR="00705A3F" w:rsidRPr="004418A1" w:rsidRDefault="00705A3F" w:rsidP="00705A3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Pagauti laimę lengva, o išlaikyti ___________(ją) sunku.</w:t>
      </w:r>
      <w:r w:rsidRPr="004418A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</w:t>
      </w:r>
    </w:p>
    <w:p w14:paraId="5EF8561B" w14:textId="77777777" w:rsidR="00705A3F" w:rsidRDefault="00705A3F" w:rsidP="00705A3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 w:rsidRPr="00705A3F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Ne __________(tas) laimėjo, kuris gerai pradėjo – _________(tas) laimėjo, kuris gerai baigė.</w:t>
      </w:r>
    </w:p>
    <w:p w14:paraId="21573A44" w14:textId="77777777" w:rsidR="00705A3F" w:rsidRDefault="00705A3F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6B23EDAE" w14:textId="4C7A41C8" w:rsidR="004418A1" w:rsidRPr="004418A1" w:rsidRDefault="004418A1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Perrašykite patarles į</w:t>
      </w:r>
      <w:r w:rsidRPr="004418A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vardžius pakeis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>dami</w:t>
      </w:r>
      <w:r w:rsidRPr="004418A1"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  <w:t xml:space="preserve"> daiktavardžiais. Aptarkite, ar pasikeitė patarlės prasmė, gal ji tapo aiškesnė. </w:t>
      </w:r>
    </w:p>
    <w:p w14:paraId="1A207B4E" w14:textId="77777777" w:rsidR="004418A1" w:rsidRDefault="004418A1" w:rsidP="000D1BD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t-LT"/>
          <w14:ligatures w14:val="none"/>
        </w:rPr>
      </w:pPr>
    </w:p>
    <w:p w14:paraId="520F25AA" w14:textId="77777777" w:rsidR="004817B3" w:rsidRDefault="004817B3" w:rsidP="007047B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bookmarkStart w:id="0" w:name="_GoBack"/>
      <w:bookmarkEnd w:id="0"/>
    </w:p>
    <w:p w14:paraId="0A63FC1F" w14:textId="60240699" w:rsidR="007047BE" w:rsidRDefault="004817B3" w:rsidP="007047B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 </w:t>
      </w:r>
    </w:p>
    <w:p w14:paraId="327D1D37" w14:textId="77777777" w:rsidR="007047BE" w:rsidRDefault="007047BE" w:rsidP="007047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</w:p>
    <w:p w14:paraId="5BB0673C" w14:textId="1B6B235E" w:rsidR="008C2271" w:rsidRPr="00A34201" w:rsidRDefault="008C2271" w:rsidP="008C227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sectPr w:rsidR="008C2271" w:rsidRPr="00A342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1DB"/>
    <w:multiLevelType w:val="hybridMultilevel"/>
    <w:tmpl w:val="B1F6BC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AC7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5E4A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203C"/>
    <w:multiLevelType w:val="multilevel"/>
    <w:tmpl w:val="D08E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32025"/>
    <w:multiLevelType w:val="hybridMultilevel"/>
    <w:tmpl w:val="90301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EA4"/>
    <w:multiLevelType w:val="hybridMultilevel"/>
    <w:tmpl w:val="A58EDE76"/>
    <w:lvl w:ilvl="0" w:tplc="8CA40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FE6"/>
    <w:multiLevelType w:val="hybridMultilevel"/>
    <w:tmpl w:val="509CF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01E69"/>
    <w:multiLevelType w:val="hybridMultilevel"/>
    <w:tmpl w:val="940049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25D1"/>
    <w:multiLevelType w:val="hybridMultilevel"/>
    <w:tmpl w:val="C1FEC7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1DAC"/>
    <w:multiLevelType w:val="hybridMultilevel"/>
    <w:tmpl w:val="2C86614A"/>
    <w:lvl w:ilvl="0" w:tplc="DF3A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62DCA"/>
    <w:multiLevelType w:val="hybridMultilevel"/>
    <w:tmpl w:val="7412678C"/>
    <w:lvl w:ilvl="0" w:tplc="F2DA5E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017892"/>
    <w:rsid w:val="00024EAB"/>
    <w:rsid w:val="0006175C"/>
    <w:rsid w:val="00073092"/>
    <w:rsid w:val="000D1BD4"/>
    <w:rsid w:val="000E1688"/>
    <w:rsid w:val="000E7A75"/>
    <w:rsid w:val="0013086C"/>
    <w:rsid w:val="0015035A"/>
    <w:rsid w:val="0018326F"/>
    <w:rsid w:val="002A1AC3"/>
    <w:rsid w:val="002B1260"/>
    <w:rsid w:val="002B1E93"/>
    <w:rsid w:val="00386BA6"/>
    <w:rsid w:val="003E07F4"/>
    <w:rsid w:val="003F1A90"/>
    <w:rsid w:val="004165A2"/>
    <w:rsid w:val="004418A1"/>
    <w:rsid w:val="004817B3"/>
    <w:rsid w:val="00491E75"/>
    <w:rsid w:val="004B651D"/>
    <w:rsid w:val="004D432B"/>
    <w:rsid w:val="004F6EE0"/>
    <w:rsid w:val="00536C95"/>
    <w:rsid w:val="0056660F"/>
    <w:rsid w:val="005D4D74"/>
    <w:rsid w:val="00686274"/>
    <w:rsid w:val="006911FF"/>
    <w:rsid w:val="006B77F0"/>
    <w:rsid w:val="006D7401"/>
    <w:rsid w:val="007047BE"/>
    <w:rsid w:val="00705A3F"/>
    <w:rsid w:val="00731476"/>
    <w:rsid w:val="007724BC"/>
    <w:rsid w:val="007D73AC"/>
    <w:rsid w:val="007F1F48"/>
    <w:rsid w:val="00800EF5"/>
    <w:rsid w:val="0083031B"/>
    <w:rsid w:val="008A39B2"/>
    <w:rsid w:val="008C2271"/>
    <w:rsid w:val="008C4222"/>
    <w:rsid w:val="008F091F"/>
    <w:rsid w:val="009369B9"/>
    <w:rsid w:val="00986ADC"/>
    <w:rsid w:val="00A175FB"/>
    <w:rsid w:val="00A310E6"/>
    <w:rsid w:val="00A34201"/>
    <w:rsid w:val="00A443F1"/>
    <w:rsid w:val="00A92B45"/>
    <w:rsid w:val="00AC5693"/>
    <w:rsid w:val="00B84D83"/>
    <w:rsid w:val="00B8584A"/>
    <w:rsid w:val="00BA242A"/>
    <w:rsid w:val="00BA518E"/>
    <w:rsid w:val="00C1598D"/>
    <w:rsid w:val="00C2305A"/>
    <w:rsid w:val="00C7103A"/>
    <w:rsid w:val="00C75FE4"/>
    <w:rsid w:val="00C93FCB"/>
    <w:rsid w:val="00CE2574"/>
    <w:rsid w:val="00D04544"/>
    <w:rsid w:val="00D83E72"/>
    <w:rsid w:val="00DA398C"/>
    <w:rsid w:val="00DD31A9"/>
    <w:rsid w:val="00DE096B"/>
    <w:rsid w:val="00EB71C4"/>
    <w:rsid w:val="00F74EC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BCC8"/>
  <w15:chartTrackingRefBased/>
  <w15:docId w15:val="{2F4364F7-829D-4AF1-AA3C-2F27DA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227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C2271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8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C1598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86ADC"/>
    <w:rPr>
      <w:b/>
      <w:bCs/>
    </w:rPr>
  </w:style>
  <w:style w:type="character" w:customStyle="1" w:styleId="term">
    <w:name w:val="term"/>
    <w:basedOn w:val="Numatytasispastraiposriftas"/>
    <w:rsid w:val="00986ADC"/>
  </w:style>
  <w:style w:type="character" w:customStyle="1" w:styleId="apibr">
    <w:name w:val="apibr"/>
    <w:basedOn w:val="Numatytasispastraiposriftas"/>
    <w:rsid w:val="00986ADC"/>
  </w:style>
  <w:style w:type="character" w:styleId="Emfaz">
    <w:name w:val="Emphasis"/>
    <w:basedOn w:val="Numatytasispastraiposriftas"/>
    <w:uiPriority w:val="20"/>
    <w:qFormat/>
    <w:rsid w:val="006D7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0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e.lt/36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le.lt/862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e.lt/straipsnis/michail-muravjov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vle.lt/straipsnis/n1863-1864-sukilimas/" TargetMode="External"/><Relationship Id="rId10" Type="http://schemas.openxmlformats.org/officeDocument/2006/relationships/hyperlink" Target="https://www.vle.lt/straipsnis/lukiskiu-aiks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e.lt/2066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Kadzevičienė</dc:creator>
  <cp:keywords/>
  <dc:description/>
  <cp:lastModifiedBy>Mokytojas</cp:lastModifiedBy>
  <cp:revision>6</cp:revision>
  <dcterms:created xsi:type="dcterms:W3CDTF">2025-05-19T13:58:00Z</dcterms:created>
  <dcterms:modified xsi:type="dcterms:W3CDTF">2025-05-27T09:54:00Z</dcterms:modified>
</cp:coreProperties>
</file>